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</w:p>
    <w:p w:rsidR="00A40928" w:rsidRPr="00206565" w:rsidRDefault="00A40928" w:rsidP="00A40928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206565">
        <w:rPr>
          <w:rFonts w:ascii="Calibri" w:hAnsi="Calibri" w:cs="Tahoma"/>
          <w:b/>
          <w:i/>
          <w:iCs/>
          <w:szCs w:val="24"/>
        </w:rPr>
        <w:t>STAROSTA CZĘSTOCHOWSKI</w:t>
      </w:r>
    </w:p>
    <w:p w:rsidR="00A40928" w:rsidRPr="00206565" w:rsidRDefault="00A40928" w:rsidP="00A40928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206565">
        <w:rPr>
          <w:rFonts w:ascii="Calibri" w:hAnsi="Calibri" w:cs="Tahoma"/>
          <w:b/>
          <w:i/>
          <w:iCs/>
          <w:szCs w:val="24"/>
        </w:rPr>
        <w:t>Ogłasza nabór na  stanowisko: podinspektor  ds. ustalania odszkodowania za grunty przejęte pod drogi publiczne oraz regulacji stanów prawnych dróg powiatowych  w trybie przepisu art. 73 ustawy z dnia 13 października 1998 r. przepisy wprowadzające ustawy reformujące administrację publiczną  w Wydziale Gospodarowania Nieruchomościami Skarbu Państwa.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 w:rsidRPr="00206565">
        <w:rPr>
          <w:rFonts w:ascii="Calibri" w:hAnsi="Calibri" w:cs="Tahoma"/>
          <w:b/>
          <w:i/>
          <w:iCs/>
          <w:sz w:val="22"/>
          <w:szCs w:val="22"/>
          <w:u w:val="single"/>
        </w:rPr>
        <w:t>1. Wymaganie niezbędne związane ze stanowiskiem: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1) Wykształcenie: wyższe.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2) Doświadczenie zawodowe: praca w administracji publicznej, prowadzenie postępowań administracyjnych, w tym z zakresu ustalania odszkodowań za grunty przejęte pod drogi publiczne, doświadczenie w regulacji stanów prawnych dróg publicznych w trybie przepisu art. 73 w/w ustawy oraz regulacji ksiąg wieczystych.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3) Doświadczenie zawodowe przy wykonywaniu podobnych czynności: minimum roczny staż pracy                                   w wykonywaniu w/w prac poparty zaświadczeniem pracodawcy.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 xml:space="preserve">3) Posiadanie umiejętności analizy tytułów prawnych, dokumentacji </w:t>
      </w:r>
      <w:proofErr w:type="spellStart"/>
      <w:r w:rsidRPr="00206565">
        <w:rPr>
          <w:rFonts w:ascii="Calibri" w:hAnsi="Calibri" w:cs="Tahoma"/>
          <w:b/>
          <w:i/>
          <w:iCs/>
          <w:sz w:val="22"/>
          <w:szCs w:val="22"/>
        </w:rPr>
        <w:t>geodezyjno</w:t>
      </w:r>
      <w:proofErr w:type="spellEnd"/>
      <w:r w:rsidRPr="00206565">
        <w:rPr>
          <w:rFonts w:ascii="Calibri" w:hAnsi="Calibri" w:cs="Tahoma"/>
          <w:b/>
          <w:i/>
          <w:iCs/>
          <w:sz w:val="22"/>
          <w:szCs w:val="22"/>
        </w:rPr>
        <w:t>–kartograficznej, danych ewidencji gruntów i budynków oraz dokumentacji wieczysto-księgowej.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 w:rsidRPr="00206565">
        <w:rPr>
          <w:rFonts w:ascii="Calibri" w:hAnsi="Calibri" w:cs="Tahoma"/>
          <w:b/>
          <w:i/>
          <w:iCs/>
          <w:sz w:val="22"/>
          <w:szCs w:val="22"/>
          <w:u w:val="single"/>
        </w:rPr>
        <w:t>2. Wymagania dodatkowe związane ze stanowiskiem: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1) Odporność na stres.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2) Odpowiedzialność, dokładność, systematyczność, komunikatywność.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3) Umiejętność pracy w zespole i z petentami.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4) Umiejętność analitycznego myślenia.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5) Chęć rozwoju i doskonalenia zawodowego.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6) Znajomość komputera, w tym pakiet MS Office, email.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7) Umiejętność korzystania z elektronicznych baz danych ewidencji gruntów i budynków EWMAPA, EWOPIS.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8) Znajomość przepisów kodeksu postępowania administracyjnego, przepisów o gospodarce nieruchomościami w zakresie niezbędnym do ustalenia odszkodowania oraz regulacji stanów prawnych, przepisów ustawy kodeks cywilny w zakresie niezbędnym do ustalenia odszkodowania oraz regulacji stanów prawnych, przepisów ustawy   o samorządzie gminnym, o samorządzie powiatowym.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 xml:space="preserve">9) Znajomość spraw z zakresu ustalania odszkodowań za grunty przejęte pod drogi publiczne   w </w:t>
      </w:r>
      <w:r w:rsidRPr="00206565">
        <w:rPr>
          <w:rFonts w:ascii="Calibri" w:hAnsi="Calibri" w:cs="Tahoma"/>
          <w:b/>
          <w:i/>
          <w:iCs/>
          <w:sz w:val="22"/>
          <w:szCs w:val="22"/>
        </w:rPr>
        <w:lastRenderedPageBreak/>
        <w:t>szczególności znajomość przepisów ustawy z dnia 10 kwietnia 2003 r. o szczególnych zasadach przygotowania i realizacji inwestycji w zakresie dróg publicznych /Dz. U. z 2015 r., poz. 2031/.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206565">
        <w:rPr>
          <w:rFonts w:ascii="Calibri" w:hAnsi="Calibri" w:cs="Tahoma"/>
          <w:b/>
          <w:i/>
          <w:iCs/>
          <w:sz w:val="22"/>
          <w:szCs w:val="22"/>
        </w:rPr>
        <w:t>10) Umiejętność czytania i analizowania operatów szacunkowych, w tym umiejętność oceny operatu szacunkowego jako dowodu w sprawie.</w:t>
      </w: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</w:p>
    <w:p w:rsidR="00A40928" w:rsidRPr="00206565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 w:rsidRPr="00206565">
        <w:rPr>
          <w:rFonts w:ascii="Calibri" w:hAnsi="Calibri" w:cs="Tahoma"/>
          <w:b/>
          <w:i/>
          <w:iCs/>
          <w:sz w:val="22"/>
          <w:szCs w:val="22"/>
          <w:u w:val="single"/>
        </w:rPr>
        <w:t>3. Zakres wykonywanych zadań na stanowisku, w szczególności: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1) Prowadzenie postę</w:t>
      </w:r>
      <w:r w:rsidRPr="001108BE">
        <w:rPr>
          <w:rFonts w:ascii="Calibri" w:hAnsi="Calibri" w:cs="Tahoma"/>
          <w:i/>
          <w:iCs/>
          <w:sz w:val="22"/>
          <w:szCs w:val="22"/>
        </w:rPr>
        <w:t xml:space="preserve">powań administracyjnych, w tym przygotowywanie projektów decyzji, postanowień. 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2) Ocena operatu szacunkowego jako dowodu w sprawie oraz załatwianie innych spraw z zakresu ustalania odszkodowań za grunty przejęte pod drogi publiczne.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3) Przyjmowanie klientów indywidualnych i przedstawicieli podmiotów publicznoprawnych w celu udzielenia informacji związanych z prowadzonymi postepowaniami administracyjn</w:t>
      </w:r>
      <w:r>
        <w:rPr>
          <w:rFonts w:ascii="Calibri" w:hAnsi="Calibri" w:cs="Tahoma"/>
          <w:i/>
          <w:iCs/>
          <w:sz w:val="22"/>
          <w:szCs w:val="22"/>
        </w:rPr>
        <w:t>ymi, wyjaśnień</w:t>
      </w:r>
      <w:r w:rsidRPr="001108BE">
        <w:rPr>
          <w:rFonts w:ascii="Calibri" w:hAnsi="Calibri" w:cs="Tahoma"/>
          <w:i/>
          <w:iCs/>
          <w:sz w:val="22"/>
          <w:szCs w:val="22"/>
        </w:rPr>
        <w:t xml:space="preserve"> i interpretacji obowiązujących przepisów.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4) Potwierdzanie ostateczności wydanych decyzji.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5) Składanie wniosków do Wojewody.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6) Regulacja stanów prawnych dróg powiatowych w trybie art. 73 ustawy z dnia 13 października 1998 r. przepisy wprowadzające ustawy reformujące administrację.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7) Odszukiwanie i analiza tytułów prawnych oraz innych dokumentów niezbędnych do przygotowywania warunków technicznych prac i innych opracowań geodezyjnych. Zlecanie tych prac, a następnie ich odbiór.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 xml:space="preserve">8) Odszukiwanie i analiza tytułów prawnych oraz innych dokumentów niezbędnych do przygotowania </w:t>
      </w:r>
      <w:r>
        <w:rPr>
          <w:rFonts w:ascii="Calibri" w:hAnsi="Calibri" w:cs="Tahoma"/>
          <w:i/>
          <w:iCs/>
          <w:sz w:val="22"/>
          <w:szCs w:val="22"/>
        </w:rPr>
        <w:t xml:space="preserve">                             </w:t>
      </w:r>
      <w:r w:rsidRPr="001108BE">
        <w:rPr>
          <w:rFonts w:ascii="Calibri" w:hAnsi="Calibri" w:cs="Tahoma"/>
          <w:i/>
          <w:iCs/>
          <w:sz w:val="22"/>
          <w:szCs w:val="22"/>
        </w:rPr>
        <w:t>i złożenia wniosków do wojewody.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9) Szukanie spadkobierców stron postępowania, przygotowanie wniosków o przeprowadzenie postępowań spadkowych oraz ustanowienie kuratora.</w:t>
      </w:r>
      <w:r>
        <w:rPr>
          <w:rFonts w:ascii="Calibri" w:hAnsi="Calibri" w:cs="Tahoma"/>
          <w:i/>
          <w:iCs/>
          <w:sz w:val="22"/>
          <w:szCs w:val="22"/>
        </w:rPr>
        <w:t xml:space="preserve"> 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10) Udział w prowadzonych już przez wojewodę</w:t>
      </w:r>
      <w:r>
        <w:rPr>
          <w:rFonts w:ascii="Calibri" w:hAnsi="Calibri" w:cs="Tahoma"/>
          <w:i/>
          <w:iCs/>
          <w:sz w:val="22"/>
          <w:szCs w:val="22"/>
        </w:rPr>
        <w:t xml:space="preserve"> postę</w:t>
      </w:r>
      <w:r w:rsidRPr="001108BE">
        <w:rPr>
          <w:rFonts w:ascii="Calibri" w:hAnsi="Calibri" w:cs="Tahoma"/>
          <w:i/>
          <w:iCs/>
          <w:sz w:val="22"/>
          <w:szCs w:val="22"/>
        </w:rPr>
        <w:t xml:space="preserve">powaniach administracyjnych, w tym udział </w:t>
      </w: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</w:t>
      </w:r>
      <w:r w:rsidRPr="001108BE">
        <w:rPr>
          <w:rFonts w:ascii="Calibri" w:hAnsi="Calibri" w:cs="Tahoma"/>
          <w:i/>
          <w:iCs/>
          <w:sz w:val="22"/>
          <w:szCs w:val="22"/>
        </w:rPr>
        <w:t>w rozprawach i oględzinach.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11) Wystąpienia do Sądów Rejonowych o założenie bądź regulacje ksiąg wieczystych po zakończonych postepowaniach administracyjnych dot. regulacji stanów prawnych dróg powiatowych, w tym po decyzjach ZRID.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12) Planowanie prac i opracowań geodezyjnych, planowanie środków niezbędnych na ich wykonanie.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13) Współpraca z Urzędem Wojewódzkim, Urzędami Gmin i PZD w zakresie regulacji stanów prawnych dróg powiatowych.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 xml:space="preserve">14) Prowadzenie sprawozdawczości merytorycznej i rzeczowej, dochodów i wydatków: sprawdzanie zgodności faktur /rachunków/ z zamówieniami bądź umową; opisywanie faktur /rachunków/; </w:t>
      </w:r>
      <w:r w:rsidRPr="001108BE">
        <w:rPr>
          <w:rFonts w:ascii="Calibri" w:hAnsi="Calibri" w:cs="Tahoma"/>
          <w:i/>
          <w:iCs/>
          <w:sz w:val="22"/>
          <w:szCs w:val="22"/>
        </w:rPr>
        <w:lastRenderedPageBreak/>
        <w:t>stosowanie prawidłowej klasyfikacji budżetowej.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 w:rsidRPr="001108BE">
        <w:rPr>
          <w:rFonts w:ascii="Calibri" w:hAnsi="Calibri" w:cs="Tahoma"/>
          <w:b/>
          <w:i/>
          <w:iCs/>
          <w:sz w:val="22"/>
          <w:szCs w:val="22"/>
          <w:u w:val="single"/>
        </w:rPr>
        <w:t>4. Wymagane dokumenty: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1) Kwestionariusz osobowy z opisem przebiegu pracy zawodowej.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2) Curriculum vitae.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3) List motywacyjny.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4) Kserokopia dyplomów potwierdzających wykształcenie.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5) Inne dodatkowe dokumenty o posiadanych kwalifikacjach i umiejętnościach /referencje, certyfikaty, zaświadczenia itp./.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6) Kserokopie świadectw pracy lub innych dokumentów potwierdzających doświadczenie zawodowe kandydata.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7) Oświadczenie o niekaralności za przestępstwo popełnione umyślnie.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8) Oświadczenie o braku przeciwwskazań zdrowotnych do wykonywania pracy na danym stanowisku.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 w:rsidRPr="001108BE">
        <w:rPr>
          <w:rFonts w:ascii="Calibri" w:hAnsi="Calibri" w:cs="Tahoma"/>
          <w:b/>
          <w:i/>
          <w:iCs/>
          <w:sz w:val="22"/>
          <w:szCs w:val="22"/>
          <w:u w:val="single"/>
        </w:rPr>
        <w:t>5. Termin, sposób i miejsce składania dokumentów aplikacyjnych: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 xml:space="preserve">1) Termin: </w:t>
      </w:r>
      <w:r>
        <w:rPr>
          <w:rFonts w:ascii="Calibri" w:hAnsi="Calibri" w:cs="Tahoma"/>
          <w:b/>
          <w:i/>
          <w:iCs/>
          <w:sz w:val="22"/>
          <w:szCs w:val="22"/>
        </w:rPr>
        <w:t>do dnia 26</w:t>
      </w:r>
      <w:r w:rsidRPr="001108BE">
        <w:rPr>
          <w:rFonts w:ascii="Calibri" w:hAnsi="Calibri" w:cs="Tahoma"/>
          <w:b/>
          <w:i/>
          <w:iCs/>
          <w:sz w:val="22"/>
          <w:szCs w:val="22"/>
        </w:rPr>
        <w:t xml:space="preserve"> pa</w:t>
      </w:r>
      <w:r>
        <w:rPr>
          <w:rFonts w:ascii="Calibri" w:hAnsi="Calibri" w:cs="Tahoma"/>
          <w:b/>
          <w:i/>
          <w:iCs/>
          <w:sz w:val="22"/>
          <w:szCs w:val="22"/>
        </w:rPr>
        <w:t>ździernika 2018 r. do godziny 14:3</w:t>
      </w:r>
      <w:r w:rsidRPr="001108BE">
        <w:rPr>
          <w:rFonts w:ascii="Calibri" w:hAnsi="Calibri" w:cs="Tahoma"/>
          <w:b/>
          <w:i/>
          <w:iCs/>
          <w:sz w:val="22"/>
          <w:szCs w:val="22"/>
        </w:rPr>
        <w:t>0.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 xml:space="preserve">2) Sposób składania dokumentów aplikacyjnych: w zamkniętej kopercie, osobiście lub listem poleconym </w:t>
      </w:r>
      <w:r>
        <w:rPr>
          <w:rFonts w:ascii="Calibri" w:hAnsi="Calibri" w:cs="Tahoma"/>
          <w:i/>
          <w:iCs/>
          <w:sz w:val="22"/>
          <w:szCs w:val="22"/>
        </w:rPr>
        <w:t xml:space="preserve">                        </w:t>
      </w:r>
      <w:r w:rsidRPr="001108BE">
        <w:rPr>
          <w:rFonts w:ascii="Calibri" w:hAnsi="Calibri" w:cs="Tahoma"/>
          <w:i/>
          <w:iCs/>
          <w:sz w:val="22"/>
          <w:szCs w:val="22"/>
        </w:rPr>
        <w:t>z dopiskiem „Nabór na stanowisko: podinspektora  ds. ustalania odszkodo</w:t>
      </w:r>
      <w:r>
        <w:rPr>
          <w:rFonts w:ascii="Calibri" w:hAnsi="Calibri" w:cs="Tahoma"/>
          <w:i/>
          <w:iCs/>
          <w:sz w:val="22"/>
          <w:szCs w:val="22"/>
        </w:rPr>
        <w:t>wania</w:t>
      </w:r>
      <w:r w:rsidRPr="001108BE">
        <w:rPr>
          <w:rFonts w:ascii="Calibri" w:hAnsi="Calibri" w:cs="Tahoma"/>
          <w:i/>
          <w:iCs/>
          <w:sz w:val="22"/>
          <w:szCs w:val="22"/>
        </w:rPr>
        <w:t xml:space="preserve"> za grunty przejęte pod drogi publiczne oraz regulacji stanów prawnych dróg powiatowych  w trybie przepisu art. 73 ustawy z dnia </w:t>
      </w:r>
      <w:r>
        <w:rPr>
          <w:rFonts w:ascii="Calibri" w:hAnsi="Calibri" w:cs="Tahoma"/>
          <w:i/>
          <w:iCs/>
          <w:sz w:val="22"/>
          <w:szCs w:val="22"/>
        </w:rPr>
        <w:t xml:space="preserve">                           </w:t>
      </w:r>
      <w:r w:rsidRPr="001108BE">
        <w:rPr>
          <w:rFonts w:ascii="Calibri" w:hAnsi="Calibri" w:cs="Tahoma"/>
          <w:i/>
          <w:iCs/>
          <w:sz w:val="22"/>
          <w:szCs w:val="22"/>
        </w:rPr>
        <w:t>13 października 1998 r. przepisy wprowadzające ustawy reformujące administrację publiczną   w</w:t>
      </w:r>
      <w:r w:rsidRPr="001108BE">
        <w:rPr>
          <w:rFonts w:ascii="Calibri" w:hAnsi="Calibri" w:cs="Tahoma"/>
          <w:b/>
          <w:i/>
          <w:iCs/>
          <w:sz w:val="22"/>
          <w:szCs w:val="22"/>
        </w:rPr>
        <w:t xml:space="preserve"> </w:t>
      </w:r>
      <w:r w:rsidRPr="001108BE">
        <w:rPr>
          <w:rFonts w:ascii="Calibri" w:hAnsi="Calibri" w:cs="Tahoma"/>
          <w:i/>
          <w:iCs/>
          <w:sz w:val="22"/>
          <w:szCs w:val="22"/>
        </w:rPr>
        <w:t>Wydziale Gospodarowania Nieruchomościami Skarbu Państwa.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3) Miejsce: Starostwo Powiatowe w Częstochowie, ul. Jana III Sobieskiego 9, Kancelaria ogólna pokój nr 3, parter.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 w:rsidRPr="001108BE">
        <w:rPr>
          <w:rFonts w:ascii="Calibri" w:hAnsi="Calibri" w:cs="Tahoma"/>
          <w:b/>
          <w:i/>
          <w:iCs/>
          <w:sz w:val="22"/>
          <w:szCs w:val="22"/>
          <w:u w:val="single"/>
        </w:rPr>
        <w:t>6. Informacje dodatkowe: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1) Kontakt z kadrami: telefon /34/ 322-91-27.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 xml:space="preserve">2) Aplikacje, które wpłyną do Starostwa Powiatowego w Częstochowie po terminie wskazanym            </w:t>
      </w:r>
      <w:r>
        <w:rPr>
          <w:rFonts w:ascii="Calibri" w:hAnsi="Calibri" w:cs="Tahoma"/>
          <w:i/>
          <w:iCs/>
          <w:sz w:val="22"/>
          <w:szCs w:val="22"/>
        </w:rPr>
        <w:t xml:space="preserve">                             </w:t>
      </w:r>
      <w:r w:rsidRPr="001108BE">
        <w:rPr>
          <w:rFonts w:ascii="Calibri" w:hAnsi="Calibri" w:cs="Tahoma"/>
          <w:b/>
          <w:i/>
          <w:iCs/>
          <w:sz w:val="22"/>
          <w:szCs w:val="22"/>
        </w:rPr>
        <w:t>/tj. po 2</w:t>
      </w:r>
      <w:r>
        <w:rPr>
          <w:rFonts w:ascii="Calibri" w:hAnsi="Calibri" w:cs="Tahoma"/>
          <w:b/>
          <w:i/>
          <w:iCs/>
          <w:sz w:val="22"/>
          <w:szCs w:val="22"/>
        </w:rPr>
        <w:t>6</w:t>
      </w:r>
      <w:r w:rsidRPr="001108BE">
        <w:rPr>
          <w:rFonts w:ascii="Calibri" w:hAnsi="Calibri" w:cs="Tahoma"/>
          <w:b/>
          <w:i/>
          <w:iCs/>
          <w:sz w:val="22"/>
          <w:szCs w:val="22"/>
        </w:rPr>
        <w:t xml:space="preserve"> października</w:t>
      </w:r>
      <w:r>
        <w:rPr>
          <w:rFonts w:ascii="Calibri" w:hAnsi="Calibri" w:cs="Tahoma"/>
          <w:b/>
          <w:i/>
          <w:iCs/>
          <w:sz w:val="22"/>
          <w:szCs w:val="22"/>
        </w:rPr>
        <w:t xml:space="preserve"> 2018 r. godzina 14:3</w:t>
      </w:r>
      <w:r w:rsidRPr="001108BE">
        <w:rPr>
          <w:rFonts w:ascii="Calibri" w:hAnsi="Calibri" w:cs="Tahoma"/>
          <w:b/>
          <w:i/>
          <w:iCs/>
          <w:sz w:val="22"/>
          <w:szCs w:val="22"/>
        </w:rPr>
        <w:t>0/ nie będą rozpatrywane.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3) Kandydaci spełniający wymogi formalne zostaną pisemnie poinformowani o terminie postępowania sprawdzającego.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4</w:t>
      </w:r>
      <w:r w:rsidRPr="001108BE">
        <w:rPr>
          <w:rFonts w:ascii="Calibri" w:hAnsi="Calibri" w:cs="Tahoma"/>
          <w:i/>
          <w:iCs/>
          <w:sz w:val="22"/>
          <w:szCs w:val="22"/>
        </w:rPr>
        <w:t xml:space="preserve">) Informacja o wyniku naboru będzie ogłoszona na tablicy ogłoszeń Starostwa Powiatowego </w:t>
      </w: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</w:t>
      </w:r>
      <w:r>
        <w:rPr>
          <w:rFonts w:ascii="Calibri" w:hAnsi="Calibri" w:cs="Tahoma"/>
          <w:i/>
          <w:iCs/>
          <w:sz w:val="22"/>
          <w:szCs w:val="22"/>
        </w:rPr>
        <w:t xml:space="preserve"> </w:t>
      </w:r>
      <w:r w:rsidRPr="001108BE">
        <w:rPr>
          <w:rFonts w:ascii="Calibri" w:hAnsi="Calibri" w:cs="Tahoma"/>
          <w:i/>
          <w:iCs/>
          <w:sz w:val="22"/>
          <w:szCs w:val="22"/>
        </w:rPr>
        <w:t>w Częstochowie oraz Biuletynie Informacji Publicznej /www.powiat-czestochowski.4bip.pl/.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5</w:t>
      </w:r>
      <w:r w:rsidRPr="001108BE">
        <w:rPr>
          <w:rFonts w:ascii="Calibri" w:hAnsi="Calibri" w:cs="Tahoma"/>
          <w:i/>
          <w:iCs/>
          <w:sz w:val="22"/>
          <w:szCs w:val="22"/>
        </w:rPr>
        <w:t>) Dokumenty aplikacyjne kandydatów, którzy nie zakwalifikowali się do postępowania sprawdzającego będą odbierane osobiście przez kandydatów lub odesłane pocztą.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2D0308" w:rsidRDefault="00A40928" w:rsidP="00A40928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lastRenderedPageBreak/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niepeł</w:t>
      </w:r>
      <w:r>
        <w:rPr>
          <w:rFonts w:ascii="Calibri" w:hAnsi="Calibri" w:cs="Tahoma"/>
          <w:b/>
          <w:i/>
          <w:iCs/>
          <w:sz w:val="20"/>
        </w:rPr>
        <w:t>nosprawnych</w:t>
      </w:r>
      <w:r>
        <w:rPr>
          <w:rFonts w:ascii="Calibri" w:hAnsi="Calibri" w:cs="Tahoma"/>
          <w:b/>
          <w:i/>
          <w:iCs/>
          <w:sz w:val="20"/>
        </w:rPr>
        <w:t xml:space="preserve">                            </w:t>
      </w:r>
      <w:bookmarkStart w:id="0" w:name="_GoBack"/>
      <w:bookmarkEnd w:id="0"/>
      <w:r>
        <w:rPr>
          <w:rFonts w:ascii="Calibri" w:hAnsi="Calibri" w:cs="Tahoma"/>
          <w:b/>
          <w:i/>
          <w:iCs/>
          <w:sz w:val="20"/>
        </w:rPr>
        <w:t xml:space="preserve"> w miesiącu wrześniu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40928" w:rsidRPr="001108BE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1108BE">
        <w:rPr>
          <w:rFonts w:ascii="Calibri" w:hAnsi="Calibri" w:cs="Tahoma"/>
          <w:i/>
          <w:iCs/>
          <w:sz w:val="22"/>
          <w:szCs w:val="22"/>
        </w:rPr>
        <w:t>Częst</w:t>
      </w:r>
      <w:r>
        <w:rPr>
          <w:rFonts w:ascii="Calibri" w:hAnsi="Calibri" w:cs="Tahoma"/>
          <w:i/>
          <w:iCs/>
          <w:sz w:val="22"/>
          <w:szCs w:val="22"/>
        </w:rPr>
        <w:t xml:space="preserve">ochowa, dnia 12 </w:t>
      </w:r>
      <w:r w:rsidRPr="001108BE">
        <w:rPr>
          <w:rFonts w:ascii="Calibri" w:hAnsi="Calibri" w:cs="Tahoma"/>
          <w:i/>
          <w:iCs/>
          <w:sz w:val="22"/>
          <w:szCs w:val="22"/>
        </w:rPr>
        <w:t xml:space="preserve"> października 2018 r.</w:t>
      </w:r>
    </w:p>
    <w:p w:rsidR="00A40928" w:rsidRDefault="00A40928" w:rsidP="00A4092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03E14" w:rsidRDefault="00F03E14"/>
    <w:sectPr w:rsidR="00F0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28"/>
    <w:rsid w:val="00A40928"/>
    <w:rsid w:val="00F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140A-2EFD-4549-8C93-2ADF78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2018-10-15T06:02:00Z</dcterms:created>
  <dcterms:modified xsi:type="dcterms:W3CDTF">2018-10-15T06:03:00Z</dcterms:modified>
</cp:coreProperties>
</file>